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6E1F" w14:textId="77777777" w:rsidR="00FA5317" w:rsidRPr="00742E18" w:rsidRDefault="00C42664" w:rsidP="00742E18">
      <w:pPr>
        <w:adjustRightInd w:val="0"/>
        <w:snapToGrid w:val="0"/>
        <w:spacing w:line="40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附件1</w:t>
      </w:r>
      <w:r w:rsidRPr="00742E18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：</w:t>
      </w:r>
    </w:p>
    <w:p w14:paraId="1FE95A79" w14:textId="583086CC" w:rsidR="00C42664" w:rsidRDefault="00C42664" w:rsidP="00742E18">
      <w:pPr>
        <w:adjustRightInd w:val="0"/>
        <w:snapToGrid w:val="0"/>
        <w:spacing w:line="400" w:lineRule="exac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742E18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研究生奖学金</w:t>
      </w:r>
      <w:r w:rsidR="0065447B" w:rsidRPr="00742E18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综合</w:t>
      </w:r>
      <w:r w:rsidR="004E2873" w:rsidRPr="00742E18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评分表</w:t>
      </w:r>
    </w:p>
    <w:p w14:paraId="57B945BA" w14:textId="77777777" w:rsidR="00742E18" w:rsidRPr="00742E18" w:rsidRDefault="00742E18" w:rsidP="00742E18">
      <w:pPr>
        <w:adjustRightInd w:val="0"/>
        <w:snapToGrid w:val="0"/>
        <w:spacing w:line="400" w:lineRule="exac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</w:p>
    <w:p w14:paraId="5D47A9F8" w14:textId="0A7336CB" w:rsidR="00C42664" w:rsidRPr="00742E18" w:rsidRDefault="00C42664" w:rsidP="00742E18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一</w:t>
      </w:r>
      <w:r w:rsidR="004E2873" w:rsidRPr="00742E18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、思想品德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536"/>
        <w:gridCol w:w="1134"/>
        <w:gridCol w:w="1559"/>
      </w:tblGrid>
      <w:tr w:rsidR="005D5D9E" w:rsidRPr="00742E18" w14:paraId="17C74CDD" w14:textId="7418841D" w:rsidTr="00E618DD">
        <w:trPr>
          <w:trHeight w:val="47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5D15" w14:textId="79DFC7F9" w:rsidR="005D5D9E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CD56" w14:textId="21DC9C2E" w:rsidR="005D5D9E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计分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34E8" w14:textId="56C47145" w:rsidR="005D5D9E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说明</w:t>
            </w:r>
          </w:p>
        </w:tc>
      </w:tr>
      <w:tr w:rsidR="005D5D9E" w:rsidRPr="00742E18" w14:paraId="2676EEDA" w14:textId="6796D74C" w:rsidTr="00E618DD">
        <w:trPr>
          <w:trHeight w:val="10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7871B1" w14:textId="677EBDFA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基</w:t>
            </w:r>
            <w:r w:rsidR="00FB4AF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本评分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6F64" w14:textId="5CCEFFE4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基准分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BDF" w14:textId="66F91862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点名请假一次扣0.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5分，</w:t>
            </w:r>
            <w:proofErr w:type="gramStart"/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旷</w:t>
            </w:r>
            <w:proofErr w:type="gramEnd"/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到一次扣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分。每人每学期一次请假机会不扣分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ADD" w14:textId="772E7E83" w:rsidR="005D5D9E" w:rsidRPr="00742E18" w:rsidRDefault="00801EA1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65</w:t>
            </w:r>
            <w:r w:rsidR="005D5D9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2BB89" w14:textId="630AB727" w:rsidR="005D5D9E" w:rsidRPr="00742E18" w:rsidRDefault="005D5D9E" w:rsidP="00742E18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1.活动分可累加；2.</w:t>
            </w:r>
            <w:proofErr w:type="gramStart"/>
            <w:r w:rsidR="00D24E76"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贡献分</w:t>
            </w:r>
            <w:proofErr w:type="gramEnd"/>
            <w:r w:rsidR="00D24E76"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不累加，</w:t>
            </w:r>
            <w:proofErr w:type="gramStart"/>
            <w:r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取最高</w:t>
            </w:r>
            <w:proofErr w:type="gramEnd"/>
            <w:r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14:paraId="68F59080" w14:textId="77777777" w:rsidR="005D5D9E" w:rsidRPr="00742E18" w:rsidRDefault="005D5D9E" w:rsidP="00742E18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.奖励分不累加，同一事迹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受不同级别表彰</w:t>
            </w:r>
            <w:r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</w:t>
            </w:r>
            <w:r w:rsidR="00D24E76"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742E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取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最高</w:t>
            </w:r>
            <w:proofErr w:type="gramEnd"/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="00D24E76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14:paraId="20CE7FDD" w14:textId="5DACD172" w:rsidR="00D24E76" w:rsidRPr="00742E18" w:rsidRDefault="00D24E76" w:rsidP="00742E18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4.奖励分范围为获得优秀学生干部、优秀</w:t>
            </w:r>
            <w:proofErr w:type="gramStart"/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会干部、优秀学生、优秀党员、优秀团员、见义勇为先进个人等</w:t>
            </w:r>
            <w:r w:rsidR="00FB4AF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各级奖励情况。</w:t>
            </w:r>
          </w:p>
        </w:tc>
      </w:tr>
      <w:tr w:rsidR="005D5D9E" w:rsidRPr="00742E18" w14:paraId="166EDACE" w14:textId="589FC442" w:rsidTr="00E618DD">
        <w:trPr>
          <w:trHeight w:val="3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3D0A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98C6F" w14:textId="195AAE72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活动分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7C6E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人生规划沙龙（主讲）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566A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8ECB9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0E111032" w14:textId="498D89DB" w:rsidTr="00E618DD">
        <w:trPr>
          <w:trHeight w:val="3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C4CA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B3A46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4E72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院元旦晚会演员，参加校元旦晚会额外加</w:t>
            </w: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C09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6B4D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52C9D558" w14:textId="15CF25CD" w:rsidTr="00E618DD">
        <w:trPr>
          <w:trHeight w:val="6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D4EF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B8560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8B0" w14:textId="2C96C12D" w:rsidR="005D5D9E" w:rsidRPr="005062A3" w:rsidRDefault="00D24E76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研究生会举办的比赛（</w:t>
            </w:r>
            <w:r w:rsidR="00882142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每次</w:t>
            </w:r>
            <w:r w:rsidR="00882142"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0.</w:t>
            </w:r>
            <w:r w:rsidR="00882142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5分，总分≤</w:t>
            </w:r>
            <w:r w:rsidR="00801EA1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882142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="005D5D9E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4898" w14:textId="347E7EFF" w:rsidR="005D5D9E" w:rsidRPr="005062A3" w:rsidRDefault="00801EA1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5D5D9E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9D7B4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76F9F40A" w14:textId="5653AA85" w:rsidTr="00E618DD">
        <w:trPr>
          <w:trHeight w:val="3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52B8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24226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7576" w14:textId="31AB642A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学术卡片（每次</w:t>
            </w: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0.3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分，总分≤</w:t>
            </w: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F88D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812A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18C97511" w14:textId="0B3EDF44" w:rsidTr="00E618DD">
        <w:trPr>
          <w:trHeight w:val="3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15B4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A670B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E3DF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《研究生通讯》发表文章</w:t>
            </w: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9172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7F39F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6CD889CF" w14:textId="704C8F19" w:rsidTr="00E618DD">
        <w:trPr>
          <w:trHeight w:val="3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E418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36D2" w14:textId="5199EE60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贡献分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08C8" w14:textId="4D420356" w:rsidR="005D5D9E" w:rsidRPr="005062A3" w:rsidRDefault="00456903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代表管理学院在学校职能部门或代表学校在校外任职（管理学院兼职辅导员等同于此）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A91D" w14:textId="7A1A7E93" w:rsidR="005D5D9E" w:rsidRPr="005062A3" w:rsidRDefault="00C17453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0C7EA5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</w:t>
            </w:r>
            <w:r w:rsidR="005D5D9E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A552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C7EA5" w:rsidRPr="00742E18" w14:paraId="7CC17508" w14:textId="77777777" w:rsidTr="00E618DD">
        <w:trPr>
          <w:trHeight w:val="3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233" w14:textId="77777777" w:rsidR="000C7EA5" w:rsidRPr="00742E18" w:rsidRDefault="000C7EA5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A51" w14:textId="77777777" w:rsidR="000C7EA5" w:rsidRPr="005062A3" w:rsidRDefault="000C7EA5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C76" w14:textId="164B15FA" w:rsidR="000C7EA5" w:rsidRPr="005062A3" w:rsidRDefault="000C7EA5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班长、党支书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5D7" w14:textId="6374CA47" w:rsidR="000C7EA5" w:rsidRPr="005062A3" w:rsidRDefault="000C7EA5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1AB6" w14:textId="77777777" w:rsidR="000C7EA5" w:rsidRPr="00742E18" w:rsidRDefault="000C7EA5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6DCCCC2E" w14:textId="5BC7F661" w:rsidTr="00E618DD">
        <w:trPr>
          <w:trHeight w:val="3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691E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5BA6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A82C" w14:textId="6B1B11EC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其他班委</w:t>
            </w:r>
            <w:r w:rsidR="00FC5C01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、支委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9B04" w14:textId="31F6AADD" w:rsidR="005D5D9E" w:rsidRPr="005062A3" w:rsidRDefault="000C7EA5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5D5D9E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D65C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7DC29BDD" w14:textId="0BEA9DF4" w:rsidTr="00E618DD">
        <w:trPr>
          <w:trHeight w:val="3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127B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B992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FB6B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校（院）</w:t>
            </w:r>
            <w:proofErr w:type="gramStart"/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会主席团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16E1" w14:textId="1DA19809" w:rsidR="005D5D9E" w:rsidRPr="005062A3" w:rsidRDefault="000C7EA5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5D5D9E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4F37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5D9E" w:rsidRPr="00742E18" w14:paraId="76EC15C4" w14:textId="69C55F3D" w:rsidTr="00E618DD">
        <w:trPr>
          <w:trHeight w:val="5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4B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CA7D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DED2" w14:textId="77777777" w:rsidR="005D5D9E" w:rsidRPr="005062A3" w:rsidRDefault="005D5D9E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校（院）</w:t>
            </w:r>
            <w:proofErr w:type="gramStart"/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会其他干部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0E15" w14:textId="3923D63A" w:rsidR="005D5D9E" w:rsidRPr="005062A3" w:rsidRDefault="000C7EA5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5D5D9E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3A7A9" w14:textId="77777777" w:rsidR="005D5D9E" w:rsidRPr="00742E18" w:rsidRDefault="005D5D9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4AFB" w:rsidRPr="00742E18" w14:paraId="5B423031" w14:textId="35D53DBB" w:rsidTr="00E618DD">
        <w:trPr>
          <w:trHeight w:val="6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ACA7CF" w14:textId="1C7D3ED3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获奖加分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E677E" w14:textId="74A8DF02" w:rsidR="00FB4AFB" w:rsidRPr="00742E18" w:rsidRDefault="00FB4AF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793AA" w14:textId="739D6403" w:rsidR="00E618DD" w:rsidRPr="005062A3" w:rsidRDefault="002F6C83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国家级奖励及荣誉称号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奖励15分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</w:p>
          <w:p w14:paraId="55C54EEC" w14:textId="5F8B0721" w:rsidR="00FB4AFB" w:rsidRPr="005062A3" w:rsidRDefault="00AA239C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团体</w:t>
            </w:r>
            <w:r w:rsidR="002F6C83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国家级奖励及荣誉称号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每人</w:t>
            </w:r>
            <w:r w:rsidR="002F6C83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A135" w14:textId="6BDCE70F" w:rsidR="00FB4AFB" w:rsidRPr="005062A3" w:rsidRDefault="002F6C83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≤</w:t>
            </w:r>
            <w:r w:rsidR="00FB4AFB"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15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DF0F2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4AFB" w:rsidRPr="00742E18" w14:paraId="257C2152" w14:textId="2A786010" w:rsidTr="00E618DD">
        <w:trPr>
          <w:trHeight w:val="59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2EC99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B7363" w14:textId="1C637271" w:rsidR="00FB4AFB" w:rsidRPr="00742E18" w:rsidRDefault="00FB4AF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BE738" w14:textId="7812BDEC" w:rsidR="00E618DD" w:rsidRPr="005062A3" w:rsidRDefault="002F6C83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省部级奖励及荣誉称号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奖励12分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</w:p>
          <w:p w14:paraId="5AD85808" w14:textId="494E713E" w:rsidR="00FB4AFB" w:rsidRPr="005062A3" w:rsidRDefault="00AA239C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团体</w:t>
            </w:r>
            <w:r w:rsidR="002F6C83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省部级奖励及荣誉称号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每人</w:t>
            </w:r>
            <w:r w:rsidR="002F6C83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F411" w14:textId="288EE234" w:rsidR="00FB4AFB" w:rsidRPr="005062A3" w:rsidRDefault="00E618DD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≤</w:t>
            </w:r>
            <w:r w:rsidR="00FB4AFB"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12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1276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4AFB" w:rsidRPr="00742E18" w14:paraId="0762726B" w14:textId="552DE713" w:rsidTr="00E618DD">
        <w:trPr>
          <w:trHeight w:val="6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40202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DFCBC" w14:textId="72581DB0" w:rsidR="00FB4AFB" w:rsidRPr="00742E18" w:rsidRDefault="00FB4AF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7EA27" w14:textId="050E281B" w:rsidR="00E618DD" w:rsidRPr="005062A3" w:rsidRDefault="00E618DD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地市级奖励及荣誉称号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奖励9分，</w:t>
            </w:r>
          </w:p>
          <w:p w14:paraId="5285BBB8" w14:textId="0B255560" w:rsidR="00FB4AFB" w:rsidRPr="005062A3" w:rsidRDefault="00AA239C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团体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地市级奖励及荣誉称号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每人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72C2" w14:textId="23FD79C1" w:rsidR="00FB4AFB" w:rsidRPr="005062A3" w:rsidRDefault="00E618DD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≤</w:t>
            </w:r>
            <w:r w:rsidR="00FB4AFB"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9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6B45E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4AFB" w:rsidRPr="00742E18" w14:paraId="0AD645F8" w14:textId="361A73A6" w:rsidTr="00E618DD">
        <w:trPr>
          <w:trHeight w:val="7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DFC36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18300" w14:textId="0CDF1142" w:rsidR="00FB4AFB" w:rsidRPr="00742E18" w:rsidRDefault="00FB4AF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6456" w14:textId="3248F4E1" w:rsidR="00E618DD" w:rsidRPr="005062A3" w:rsidRDefault="00E618DD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校级奖励及荣誉称号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奖励6分，</w:t>
            </w:r>
          </w:p>
          <w:p w14:paraId="7F2B799A" w14:textId="46CE8E25" w:rsidR="00FB4AFB" w:rsidRPr="005062A3" w:rsidRDefault="00AA239C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</w:t>
            </w:r>
            <w:proofErr w:type="gramStart"/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体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校级</w:t>
            </w:r>
            <w:proofErr w:type="gramEnd"/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每人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0AA5" w14:textId="4E34B33C" w:rsidR="00FB4AFB" w:rsidRPr="005062A3" w:rsidRDefault="00E618DD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≤</w:t>
            </w:r>
            <w:r w:rsidR="00FB4AFB" w:rsidRPr="005062A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6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7E73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4AFB" w:rsidRPr="00742E18" w14:paraId="7A409B2C" w14:textId="77777777" w:rsidTr="00E618DD">
        <w:trPr>
          <w:trHeight w:val="7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0F272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06" w14:textId="0CE1656C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C99" w14:textId="7D3009AA" w:rsidR="00E618DD" w:rsidRPr="005062A3" w:rsidRDefault="00E618DD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院级奖励及荣誉称号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奖励3分，</w:t>
            </w:r>
          </w:p>
          <w:p w14:paraId="21D5BA54" w14:textId="248C6B90" w:rsidR="00FB4AFB" w:rsidRPr="005062A3" w:rsidRDefault="00AA239C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团体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院级奖励及荣誉称号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每人</w:t>
            </w:r>
            <w:r w:rsidR="00E618DD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</w:t>
            </w: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0.5分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77E" w14:textId="56CCE1A2" w:rsidR="00FB4AFB" w:rsidRPr="005062A3" w:rsidRDefault="00E618DD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≤</w:t>
            </w:r>
            <w:r w:rsidR="00FB4AFB" w:rsidRPr="005062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617B" w14:textId="77777777" w:rsidR="00FB4AFB" w:rsidRPr="00742E18" w:rsidRDefault="00FB4AF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28FBB0B2" w14:textId="77777777" w:rsidR="00E90318" w:rsidRPr="00742E18" w:rsidRDefault="00E90318" w:rsidP="00742E18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</w:p>
    <w:p w14:paraId="19553635" w14:textId="54460640" w:rsidR="00C42664" w:rsidRPr="00742E18" w:rsidRDefault="004E2873" w:rsidP="00742E18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二、课业成绩</w:t>
      </w:r>
    </w:p>
    <w:p w14:paraId="79B4CCBB" w14:textId="2F343494" w:rsidR="00742E18" w:rsidRPr="00742E18" w:rsidRDefault="00FA5317" w:rsidP="006055AC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062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lastRenderedPageBreak/>
        <w:t>以</w:t>
      </w:r>
      <w:r w:rsidR="00801EA1" w:rsidRPr="005062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图书馆打印</w:t>
      </w:r>
      <w:r w:rsidR="00C42664" w:rsidRPr="005062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的成绩单</w:t>
      </w:r>
      <w:r w:rsidR="00E618DD" w:rsidRPr="005062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上的“总平均成绩”</w:t>
      </w:r>
      <w:r w:rsidR="00C42664" w:rsidRPr="005062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为准</w:t>
      </w:r>
      <w:r w:rsidR="0083650C" w:rsidRPr="005062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  <w:r w:rsidR="00C42664" w:rsidRPr="0083650C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 </w:t>
      </w:r>
    </w:p>
    <w:p w14:paraId="17B1DE06" w14:textId="5AB67527" w:rsidR="00C42664" w:rsidRPr="00742E18" w:rsidRDefault="00C42664" w:rsidP="00742E18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三</w:t>
      </w:r>
      <w:r w:rsidR="004E2873"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、</w:t>
      </w:r>
      <w:r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学术表现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020"/>
        <w:gridCol w:w="2522"/>
        <w:gridCol w:w="1305"/>
        <w:gridCol w:w="3365"/>
      </w:tblGrid>
      <w:tr w:rsidR="00C42664" w:rsidRPr="00742E18" w14:paraId="74F7336B" w14:textId="77777777" w:rsidTr="00314C94">
        <w:trPr>
          <w:cantSplit/>
          <w:trHeight w:val="570"/>
        </w:trPr>
        <w:tc>
          <w:tcPr>
            <w:tcW w:w="4360" w:type="dxa"/>
            <w:gridSpan w:val="3"/>
            <w:vAlign w:val="center"/>
            <w:hideMark/>
          </w:tcPr>
          <w:p w14:paraId="031A4D88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项</w:t>
            </w:r>
            <w:r w:rsidRPr="00742E18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目</w:t>
            </w:r>
          </w:p>
        </w:tc>
        <w:tc>
          <w:tcPr>
            <w:tcW w:w="1305" w:type="dxa"/>
            <w:vAlign w:val="center"/>
            <w:hideMark/>
          </w:tcPr>
          <w:p w14:paraId="231D16BA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计</w:t>
            </w:r>
            <w:r w:rsidRPr="00742E18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365" w:type="dxa"/>
            <w:vAlign w:val="center"/>
            <w:hideMark/>
          </w:tcPr>
          <w:p w14:paraId="2DFD9984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说</w:t>
            </w:r>
            <w:r w:rsidRPr="00742E18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明</w:t>
            </w:r>
          </w:p>
        </w:tc>
      </w:tr>
      <w:tr w:rsidR="00C42664" w:rsidRPr="00742E18" w14:paraId="36C25954" w14:textId="77777777" w:rsidTr="00314C94">
        <w:trPr>
          <w:cantSplit/>
          <w:trHeight w:val="8137"/>
        </w:trPr>
        <w:tc>
          <w:tcPr>
            <w:tcW w:w="818" w:type="dxa"/>
            <w:vMerge w:val="restart"/>
            <w:vAlign w:val="center"/>
            <w:hideMark/>
          </w:tcPr>
          <w:p w14:paraId="4A7C813D" w14:textId="35DBE3D7" w:rsidR="00C42664" w:rsidRPr="00742E18" w:rsidRDefault="0065447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学术</w:t>
            </w:r>
            <w:r w:rsidR="00793DD0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论文</w:t>
            </w:r>
          </w:p>
        </w:tc>
        <w:tc>
          <w:tcPr>
            <w:tcW w:w="3542" w:type="dxa"/>
            <w:gridSpan w:val="2"/>
            <w:vAlign w:val="center"/>
            <w:hideMark/>
          </w:tcPr>
          <w:p w14:paraId="2576D442" w14:textId="55CABC38" w:rsidR="00C42664" w:rsidRPr="00742E18" w:rsidRDefault="004E2873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SCI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SSCI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收录论文、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A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类期刊发表的学术论文</w:t>
            </w:r>
          </w:p>
        </w:tc>
        <w:tc>
          <w:tcPr>
            <w:tcW w:w="1305" w:type="dxa"/>
            <w:vAlign w:val="center"/>
            <w:hideMark/>
          </w:tcPr>
          <w:p w14:paraId="5AB9AC4F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100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3365" w:type="dxa"/>
            <w:vMerge w:val="restart"/>
            <w:vAlign w:val="center"/>
            <w:hideMark/>
          </w:tcPr>
          <w:p w14:paraId="4060A050" w14:textId="48268153" w:rsidR="00E55684" w:rsidRPr="00742E18" w:rsidRDefault="00C42664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650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="00FB4AFB" w:rsidRPr="0083650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.</w:t>
            </w:r>
            <w:r w:rsidR="00E55684" w:rsidRPr="0083650C">
              <w:rPr>
                <w:rFonts w:ascii="仿宋" w:eastAsia="仿宋" w:hAnsi="仿宋"/>
                <w:sz w:val="24"/>
                <w:szCs w:val="24"/>
              </w:rPr>
              <w:t>若研究生在校期间以第一作者发表了</w:t>
            </w:r>
            <w:r w:rsidR="00E55684" w:rsidRPr="0083650C">
              <w:rPr>
                <w:rFonts w:ascii="仿宋" w:eastAsia="仿宋" w:hAnsi="仿宋" w:hint="eastAsia"/>
                <w:sz w:val="24"/>
                <w:szCs w:val="24"/>
              </w:rPr>
              <w:t>国际</w:t>
            </w:r>
            <w:r w:rsidR="00E55684" w:rsidRPr="0083650C">
              <w:rPr>
                <w:rFonts w:ascii="仿宋" w:eastAsia="仿宋" w:hAnsi="仿宋"/>
                <w:sz w:val="24"/>
                <w:szCs w:val="24"/>
              </w:rPr>
              <w:t>A</w:t>
            </w:r>
            <w:r w:rsidR="005D5D9E" w:rsidRPr="0083650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E55684" w:rsidRPr="0083650C">
              <w:rPr>
                <w:rFonts w:ascii="仿宋" w:eastAsia="仿宋" w:hAnsi="仿宋" w:hint="eastAsia"/>
                <w:sz w:val="24"/>
                <w:szCs w:val="24"/>
              </w:rPr>
              <w:t>国际B</w:t>
            </w:r>
            <w:r w:rsidR="00E55684" w:rsidRPr="0083650C">
              <w:rPr>
                <w:rFonts w:ascii="仿宋" w:eastAsia="仿宋" w:hAnsi="仿宋"/>
                <w:sz w:val="24"/>
                <w:szCs w:val="24"/>
              </w:rPr>
              <w:t>区</w:t>
            </w:r>
            <w:r w:rsidR="00E55684" w:rsidRPr="0083650C">
              <w:rPr>
                <w:rFonts w:ascii="仿宋" w:eastAsia="仿宋" w:hAnsi="仿宋" w:hint="eastAsia"/>
                <w:sz w:val="24"/>
                <w:szCs w:val="24"/>
              </w:rPr>
              <w:t>或国内A区</w:t>
            </w:r>
            <w:r w:rsidR="00E55684" w:rsidRPr="0083650C">
              <w:rPr>
                <w:rFonts w:ascii="仿宋" w:eastAsia="仿宋" w:hAnsi="仿宋"/>
                <w:sz w:val="24"/>
                <w:szCs w:val="24"/>
              </w:rPr>
              <w:t>论文，只要其</w:t>
            </w:r>
            <w:r w:rsidR="00E55684" w:rsidRPr="0083650C">
              <w:rPr>
                <w:rFonts w:ascii="仿宋" w:eastAsia="仿宋" w:hAnsi="仿宋" w:hint="eastAsia"/>
                <w:sz w:val="24"/>
                <w:szCs w:val="24"/>
              </w:rPr>
              <w:t>他</w:t>
            </w:r>
            <w:r w:rsidR="00E55684" w:rsidRPr="0083650C">
              <w:rPr>
                <w:rFonts w:ascii="仿宋" w:eastAsia="仿宋" w:hAnsi="仿宋"/>
                <w:sz w:val="24"/>
                <w:szCs w:val="24"/>
              </w:rPr>
              <w:t>各项表现合格，即可获得一等奖学金，不参与打分</w:t>
            </w:r>
            <w:r w:rsidR="00D0343E" w:rsidRPr="0083650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13B23898" w14:textId="577A8BC1" w:rsidR="00D0343E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="00FB4AFB"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.</w:t>
            </w:r>
            <w:r w:rsidR="00E5568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同篇论文得分不累加，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只</w:t>
            </w:r>
            <w:proofErr w:type="gramStart"/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取最高</w:t>
            </w:r>
            <w:proofErr w:type="gramEnd"/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</w:t>
            </w:r>
          </w:p>
          <w:p w14:paraId="44C3505A" w14:textId="6ABA3665" w:rsidR="00C42664" w:rsidRPr="00742E18" w:rsidRDefault="00D0343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.</w:t>
            </w:r>
            <w:r w:rsidR="004A264F"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论文著作单位必须为武汉理工大学。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论文作者只认第一作者。（当导师为第一作者，学生为第二作者时，SCI、SSCI、A类期刊记80%分，B类期刊记50%</w:t>
            </w:r>
            <w:r w:rsidR="004E2873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分，其他的均不加分）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学生不可作为通讯作者；</w:t>
            </w:r>
          </w:p>
          <w:p w14:paraId="13EE627E" w14:textId="1778CE56" w:rsidR="00C42664" w:rsidRPr="00742E18" w:rsidRDefault="00D0343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．</w:t>
            </w:r>
            <w:bookmarkStart w:id="0" w:name="_Hlk29760324"/>
            <w:r w:rsidR="00B85A8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发表在</w:t>
            </w:r>
            <w:r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期刊</w:t>
            </w:r>
            <w:r w:rsidR="00B85A8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上的</w:t>
            </w:r>
            <w:r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论文</w:t>
            </w:r>
            <w:proofErr w:type="gramStart"/>
            <w:r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需见刊</w:t>
            </w:r>
            <w:proofErr w:type="gramEnd"/>
            <w:r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="0083650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S</w:t>
            </w:r>
            <w:r w:rsidR="0083650C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CI</w:t>
            </w:r>
            <w:r w:rsidR="0083650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、S</w:t>
            </w:r>
            <w:r w:rsidR="0083650C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SCI</w:t>
            </w:r>
            <w:r w:rsidR="0083650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801EA1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E</w:t>
            </w:r>
            <w:r w:rsidR="00801EA1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I</w:t>
            </w:r>
            <w:r w:rsidR="00801EA1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、C</w:t>
            </w:r>
            <w:r w:rsidR="00801EA1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PCI</w:t>
            </w:r>
            <w:r w:rsidR="00B85A8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、I</w:t>
            </w:r>
            <w:r w:rsidR="00B85A86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STP</w:t>
            </w:r>
            <w:r w:rsidR="00B85A8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等</w:t>
            </w:r>
            <w:r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论文</w:t>
            </w:r>
            <w:r w:rsidR="0023502B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需出具检索证明，</w:t>
            </w:r>
            <w:bookmarkEnd w:id="0"/>
            <w:r w:rsidR="0023502B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获</w:t>
            </w:r>
            <w:r w:rsidR="0023502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奖会议论文由院研究生奖学金评定委员会专题研究审核后确定加分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14:paraId="3B452E6D" w14:textId="7E98A089" w:rsidR="00C42664" w:rsidRPr="00742E18" w:rsidRDefault="00D0343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="004E2873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．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人民日报、光明日报理论版刊登的学术论文篇幅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须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超过</w:t>
            </w:r>
            <w:r w:rsidR="00C42664"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1000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字</w:t>
            </w:r>
            <w:r w:rsidR="00786D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其它</w:t>
            </w:r>
            <w:r w:rsidR="00786D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期刊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论文篇幅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须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超过</w:t>
            </w:r>
            <w:r w:rsidR="00C42664"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2000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字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，方可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加分</w:t>
            </w:r>
            <w:r w:rsidR="00786D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。短论（2页内）不作为奖学金评定依据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14:paraId="2292ECF3" w14:textId="26CCD0B1" w:rsidR="00C42664" w:rsidRPr="00742E18" w:rsidRDefault="0084154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6</w:t>
            </w:r>
            <w:r w:rsidR="004E2873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．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个人独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著</w:t>
            </w:r>
            <w:r w:rsidR="0023502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或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参与</w:t>
            </w:r>
            <w:r w:rsidR="0023502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的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著作，</w:t>
            </w:r>
            <w:r w:rsidR="0023502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需出版，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书中</w:t>
            </w:r>
            <w:r w:rsidR="0023502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须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明确说明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参与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的</w:t>
            </w:r>
            <w:r w:rsidR="00C42664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具体章节</w:t>
            </w:r>
            <w:r w:rsidR="00D0343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，方可加分；</w:t>
            </w:r>
          </w:p>
          <w:p w14:paraId="6812DD58" w14:textId="58074BCA" w:rsidR="00786DBB" w:rsidRPr="00742E18" w:rsidRDefault="0084154B" w:rsidP="00F91B4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7</w:t>
            </w:r>
            <w:r w:rsidR="00E55684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.</w:t>
            </w:r>
            <w:r w:rsidR="00281E5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论文等成果发表时间为上年度</w:t>
            </w:r>
            <w:r w:rsidR="00281E5C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9</w:t>
            </w:r>
            <w:r w:rsidR="00281E5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281E5C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="00281E5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日至本年度</w:t>
            </w:r>
            <w:r w:rsidR="00281E5C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</w:t>
            </w:r>
            <w:r w:rsidR="00281E5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月31日见刊为准</w:t>
            </w:r>
            <w:r w:rsidR="0083650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bookmarkStart w:id="1" w:name="_Hlk29760503"/>
            <w:r w:rsidR="00BB11A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S</w:t>
            </w:r>
            <w:r w:rsidR="00BB11A6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CI</w:t>
            </w:r>
            <w:r w:rsidR="00BB11A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、S</w:t>
            </w:r>
            <w:r w:rsidR="00BB11A6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SCI</w:t>
            </w:r>
            <w:r w:rsidR="00BB11A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、E</w:t>
            </w:r>
            <w:r w:rsidR="00BB11A6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I</w:t>
            </w:r>
            <w:r w:rsidR="00BB11A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、C</w:t>
            </w:r>
            <w:r w:rsidR="00BB11A6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PCI</w:t>
            </w:r>
            <w:r w:rsidR="00BB11A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、I</w:t>
            </w:r>
            <w:r w:rsidR="00BB11A6" w:rsidRPr="00BB11A6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STP</w:t>
            </w:r>
            <w:r w:rsidR="00BB11A6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等论文</w:t>
            </w:r>
            <w:r w:rsidR="0083650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以检索报告</w:t>
            </w:r>
            <w:r w:rsid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上的收录时间</w:t>
            </w:r>
            <w:r w:rsidR="0083650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为准</w:t>
            </w:r>
            <w:bookmarkEnd w:id="1"/>
            <w:r w:rsidR="0083650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  <w:r w:rsidR="00281E5C" w:rsidRPr="00BB11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C42664" w:rsidRPr="00742E18" w14:paraId="43EDD5A4" w14:textId="77777777" w:rsidTr="00314C94">
        <w:trPr>
          <w:cantSplit/>
          <w:trHeight w:val="1406"/>
        </w:trPr>
        <w:tc>
          <w:tcPr>
            <w:tcW w:w="818" w:type="dxa"/>
            <w:vMerge/>
            <w:vAlign w:val="center"/>
            <w:hideMark/>
          </w:tcPr>
          <w:p w14:paraId="35AD9BF9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Align w:val="center"/>
            <w:hideMark/>
          </w:tcPr>
          <w:p w14:paraId="60457D91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B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类期刊发表的学术论文，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EI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期刊论文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、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人民日报、光明日报理论版刊登的论文、人大全文复印论文</w:t>
            </w:r>
          </w:p>
        </w:tc>
        <w:tc>
          <w:tcPr>
            <w:tcW w:w="1305" w:type="dxa"/>
            <w:vAlign w:val="center"/>
            <w:hideMark/>
          </w:tcPr>
          <w:p w14:paraId="64EF02E8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50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3365" w:type="dxa"/>
            <w:vMerge/>
            <w:vAlign w:val="center"/>
            <w:hideMark/>
          </w:tcPr>
          <w:p w14:paraId="404F7950" w14:textId="77777777" w:rsidR="00C42664" w:rsidRPr="00742E18" w:rsidRDefault="00C42664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42664" w:rsidRPr="00742E18" w14:paraId="642F57B2" w14:textId="77777777" w:rsidTr="00314C94">
        <w:trPr>
          <w:cantSplit/>
          <w:trHeight w:val="1541"/>
        </w:trPr>
        <w:tc>
          <w:tcPr>
            <w:tcW w:w="818" w:type="dxa"/>
            <w:vMerge/>
            <w:vAlign w:val="center"/>
            <w:hideMark/>
          </w:tcPr>
          <w:p w14:paraId="1629DDC8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Align w:val="center"/>
            <w:hideMark/>
          </w:tcPr>
          <w:p w14:paraId="5F2DF608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C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区期刊（中文期刊目录以《管理与经济学科教师高级岗位评聘论文期刊分区目录》为准）</w:t>
            </w:r>
          </w:p>
        </w:tc>
        <w:tc>
          <w:tcPr>
            <w:tcW w:w="1305" w:type="dxa"/>
            <w:vAlign w:val="center"/>
            <w:hideMark/>
          </w:tcPr>
          <w:p w14:paraId="0144697A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30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3365" w:type="dxa"/>
            <w:vMerge/>
            <w:vAlign w:val="center"/>
            <w:hideMark/>
          </w:tcPr>
          <w:p w14:paraId="388F1542" w14:textId="77777777" w:rsidR="00C42664" w:rsidRPr="00742E18" w:rsidRDefault="00C42664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42664" w:rsidRPr="00742E18" w14:paraId="02141BEB" w14:textId="77777777" w:rsidTr="00314C94">
        <w:trPr>
          <w:cantSplit/>
          <w:trHeight w:val="854"/>
        </w:trPr>
        <w:tc>
          <w:tcPr>
            <w:tcW w:w="818" w:type="dxa"/>
            <w:vMerge/>
            <w:vAlign w:val="center"/>
            <w:hideMark/>
          </w:tcPr>
          <w:p w14:paraId="0744415A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Align w:val="center"/>
            <w:hideMark/>
          </w:tcPr>
          <w:p w14:paraId="608BCC92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EI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收录国际会议论文</w:t>
            </w:r>
          </w:p>
        </w:tc>
        <w:tc>
          <w:tcPr>
            <w:tcW w:w="1305" w:type="dxa"/>
            <w:vAlign w:val="center"/>
            <w:hideMark/>
          </w:tcPr>
          <w:p w14:paraId="6E33E3B0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3365" w:type="dxa"/>
            <w:vMerge/>
            <w:vAlign w:val="center"/>
            <w:hideMark/>
          </w:tcPr>
          <w:p w14:paraId="57B2D14B" w14:textId="77777777" w:rsidR="00C42664" w:rsidRPr="00742E18" w:rsidRDefault="00C42664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42664" w:rsidRPr="00742E18" w14:paraId="074FFE0F" w14:textId="77777777" w:rsidTr="00314C94">
        <w:trPr>
          <w:cantSplit/>
          <w:trHeight w:val="838"/>
        </w:trPr>
        <w:tc>
          <w:tcPr>
            <w:tcW w:w="818" w:type="dxa"/>
            <w:vMerge/>
            <w:vAlign w:val="center"/>
            <w:hideMark/>
          </w:tcPr>
          <w:p w14:paraId="587FA88A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Align w:val="center"/>
            <w:hideMark/>
          </w:tcPr>
          <w:p w14:paraId="34718962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ISTP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收录国际会议论文</w:t>
            </w:r>
          </w:p>
        </w:tc>
        <w:tc>
          <w:tcPr>
            <w:tcW w:w="1305" w:type="dxa"/>
            <w:vAlign w:val="center"/>
            <w:hideMark/>
          </w:tcPr>
          <w:p w14:paraId="02B03784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3365" w:type="dxa"/>
            <w:vMerge/>
            <w:vAlign w:val="center"/>
            <w:hideMark/>
          </w:tcPr>
          <w:p w14:paraId="3D4E7E4C" w14:textId="77777777" w:rsidR="00C42664" w:rsidRPr="00742E18" w:rsidRDefault="00C42664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42664" w:rsidRPr="00742E18" w14:paraId="0643EF5D" w14:textId="77777777" w:rsidTr="00314C94">
        <w:trPr>
          <w:cantSplit/>
          <w:trHeight w:val="1261"/>
        </w:trPr>
        <w:tc>
          <w:tcPr>
            <w:tcW w:w="818" w:type="dxa"/>
            <w:vMerge/>
            <w:vAlign w:val="center"/>
            <w:hideMark/>
          </w:tcPr>
          <w:p w14:paraId="22D244C4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Align w:val="center"/>
            <w:hideMark/>
          </w:tcPr>
          <w:p w14:paraId="77A4D955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参加编著学术著作达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千字以上；参加编写教材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万字以上；参加翻译学术著作达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万字以上</w:t>
            </w:r>
          </w:p>
        </w:tc>
        <w:tc>
          <w:tcPr>
            <w:tcW w:w="1305" w:type="dxa"/>
            <w:vAlign w:val="center"/>
            <w:hideMark/>
          </w:tcPr>
          <w:p w14:paraId="0A3292AF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部</w:t>
            </w:r>
          </w:p>
        </w:tc>
        <w:tc>
          <w:tcPr>
            <w:tcW w:w="3365" w:type="dxa"/>
            <w:vMerge/>
            <w:vAlign w:val="center"/>
            <w:hideMark/>
          </w:tcPr>
          <w:p w14:paraId="51320057" w14:textId="77777777" w:rsidR="00C42664" w:rsidRPr="00742E18" w:rsidRDefault="00C42664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93DD0" w:rsidRPr="00742E18" w14:paraId="6991034C" w14:textId="77777777" w:rsidTr="00314C94">
        <w:trPr>
          <w:cantSplit/>
          <w:trHeight w:val="558"/>
        </w:trPr>
        <w:tc>
          <w:tcPr>
            <w:tcW w:w="818" w:type="dxa"/>
            <w:vMerge w:val="restart"/>
            <w:vAlign w:val="center"/>
          </w:tcPr>
          <w:p w14:paraId="6776F53A" w14:textId="06B8DBFC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课题科研</w:t>
            </w:r>
          </w:p>
        </w:tc>
        <w:tc>
          <w:tcPr>
            <w:tcW w:w="1020" w:type="dxa"/>
            <w:vMerge w:val="restart"/>
            <w:vAlign w:val="center"/>
          </w:tcPr>
          <w:p w14:paraId="59AAAB01" w14:textId="03E11A25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2522" w:type="dxa"/>
            <w:vAlign w:val="center"/>
          </w:tcPr>
          <w:p w14:paraId="49C2676D" w14:textId="2994407E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305" w:type="dxa"/>
            <w:vAlign w:val="center"/>
          </w:tcPr>
          <w:p w14:paraId="036F25A6" w14:textId="377AF89E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300分/项</w:t>
            </w:r>
          </w:p>
        </w:tc>
        <w:tc>
          <w:tcPr>
            <w:tcW w:w="3365" w:type="dxa"/>
            <w:vMerge w:val="restart"/>
            <w:vAlign w:val="center"/>
          </w:tcPr>
          <w:p w14:paraId="5BCD415E" w14:textId="2EA9B28A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．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需作为课题项目组主要参与者，出具课题申报书主要成员名单证明以及获奖证书</w:t>
            </w:r>
          </w:p>
          <w:p w14:paraId="6C518BC9" w14:textId="1C95C98A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．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具体课题获奖级别及范围认定参考《武汉理工大学同等学力人员申请博士学位科研奖励认定规则》（2015版）</w:t>
            </w:r>
          </w:p>
          <w:p w14:paraId="5A041470" w14:textId="798BD4BD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．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参与课题人员按课题项目组主要参与者排序加分，1-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3名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记全分，4-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6名记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85%分，7-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9名记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70%分。</w:t>
            </w:r>
          </w:p>
        </w:tc>
      </w:tr>
      <w:tr w:rsidR="00793DD0" w:rsidRPr="00742E18" w14:paraId="48B6E101" w14:textId="77777777" w:rsidTr="00314C94">
        <w:trPr>
          <w:cantSplit/>
          <w:trHeight w:val="570"/>
        </w:trPr>
        <w:tc>
          <w:tcPr>
            <w:tcW w:w="818" w:type="dxa"/>
            <w:vMerge/>
            <w:vAlign w:val="center"/>
          </w:tcPr>
          <w:p w14:paraId="1EA56C4C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4B3872DB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22A989EF" w14:textId="03A08CE2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05" w:type="dxa"/>
            <w:vAlign w:val="center"/>
          </w:tcPr>
          <w:p w14:paraId="4F9B0DD4" w14:textId="41497884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250分/项</w:t>
            </w:r>
          </w:p>
        </w:tc>
        <w:tc>
          <w:tcPr>
            <w:tcW w:w="3365" w:type="dxa"/>
            <w:vMerge/>
            <w:vAlign w:val="center"/>
          </w:tcPr>
          <w:p w14:paraId="0A6E68CB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93DD0" w:rsidRPr="00742E18" w14:paraId="02497C2F" w14:textId="77777777" w:rsidTr="00314C94">
        <w:trPr>
          <w:cantSplit/>
          <w:trHeight w:val="615"/>
        </w:trPr>
        <w:tc>
          <w:tcPr>
            <w:tcW w:w="818" w:type="dxa"/>
            <w:vMerge/>
            <w:vAlign w:val="center"/>
          </w:tcPr>
          <w:p w14:paraId="2F66C2BB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44958BA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CDD9469" w14:textId="3AA1458E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05" w:type="dxa"/>
            <w:vAlign w:val="center"/>
          </w:tcPr>
          <w:p w14:paraId="3B936CDE" w14:textId="57F63E1D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200分/项</w:t>
            </w:r>
          </w:p>
        </w:tc>
        <w:tc>
          <w:tcPr>
            <w:tcW w:w="3365" w:type="dxa"/>
            <w:vMerge/>
            <w:vAlign w:val="center"/>
          </w:tcPr>
          <w:p w14:paraId="21C449A1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93DD0" w:rsidRPr="00742E18" w14:paraId="240EAC6B" w14:textId="77777777" w:rsidTr="00314C94">
        <w:trPr>
          <w:cantSplit/>
          <w:trHeight w:val="615"/>
        </w:trPr>
        <w:tc>
          <w:tcPr>
            <w:tcW w:w="818" w:type="dxa"/>
            <w:vMerge/>
            <w:vAlign w:val="center"/>
          </w:tcPr>
          <w:p w14:paraId="73BF5359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0DED7B71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6AA54623" w14:textId="75EF8054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05" w:type="dxa"/>
            <w:vAlign w:val="center"/>
          </w:tcPr>
          <w:p w14:paraId="61808D5F" w14:textId="001B0D5B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150分/项</w:t>
            </w:r>
          </w:p>
        </w:tc>
        <w:tc>
          <w:tcPr>
            <w:tcW w:w="3365" w:type="dxa"/>
            <w:vMerge/>
            <w:vAlign w:val="center"/>
          </w:tcPr>
          <w:p w14:paraId="1BBC5B7E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93DD0" w:rsidRPr="00742E18" w14:paraId="3D6208E2" w14:textId="77777777" w:rsidTr="00314C94">
        <w:trPr>
          <w:cantSplit/>
          <w:trHeight w:val="536"/>
        </w:trPr>
        <w:tc>
          <w:tcPr>
            <w:tcW w:w="818" w:type="dxa"/>
            <w:vMerge/>
            <w:vAlign w:val="center"/>
          </w:tcPr>
          <w:p w14:paraId="408AFF78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2F7770B7" w14:textId="2F17D8F5" w:rsidR="00793DD0" w:rsidRPr="00742E18" w:rsidRDefault="00793DD0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2522" w:type="dxa"/>
            <w:vAlign w:val="center"/>
          </w:tcPr>
          <w:p w14:paraId="7D223C7D" w14:textId="51F1280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05" w:type="dxa"/>
            <w:vAlign w:val="center"/>
          </w:tcPr>
          <w:p w14:paraId="142BF952" w14:textId="2B99768D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100分/项</w:t>
            </w:r>
          </w:p>
        </w:tc>
        <w:tc>
          <w:tcPr>
            <w:tcW w:w="3365" w:type="dxa"/>
            <w:vMerge/>
            <w:vAlign w:val="center"/>
          </w:tcPr>
          <w:p w14:paraId="76087449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93DD0" w:rsidRPr="00742E18" w14:paraId="65BB6A79" w14:textId="77777777" w:rsidTr="00314C94">
        <w:trPr>
          <w:cantSplit/>
          <w:trHeight w:val="573"/>
        </w:trPr>
        <w:tc>
          <w:tcPr>
            <w:tcW w:w="818" w:type="dxa"/>
            <w:vMerge/>
            <w:vAlign w:val="center"/>
          </w:tcPr>
          <w:p w14:paraId="003949F4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30D6C6F2" w14:textId="58B83D63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333F567A" w14:textId="3965C92D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05" w:type="dxa"/>
            <w:vAlign w:val="center"/>
          </w:tcPr>
          <w:p w14:paraId="3A9AF953" w14:textId="10E3A7E8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80分/项</w:t>
            </w:r>
          </w:p>
        </w:tc>
        <w:tc>
          <w:tcPr>
            <w:tcW w:w="3365" w:type="dxa"/>
            <w:vMerge/>
            <w:vAlign w:val="center"/>
          </w:tcPr>
          <w:p w14:paraId="665BAAFC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93DD0" w:rsidRPr="00742E18" w14:paraId="0C3FB590" w14:textId="77777777" w:rsidTr="00314C94">
        <w:trPr>
          <w:cantSplit/>
          <w:trHeight w:val="715"/>
        </w:trPr>
        <w:tc>
          <w:tcPr>
            <w:tcW w:w="818" w:type="dxa"/>
            <w:vMerge/>
            <w:vAlign w:val="center"/>
          </w:tcPr>
          <w:p w14:paraId="0DEBE227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2D4FB993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668F1A36" w14:textId="08AD199F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05" w:type="dxa"/>
            <w:vAlign w:val="center"/>
          </w:tcPr>
          <w:p w14:paraId="1AED7358" w14:textId="73BC8DEC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50分/项</w:t>
            </w:r>
          </w:p>
        </w:tc>
        <w:tc>
          <w:tcPr>
            <w:tcW w:w="3365" w:type="dxa"/>
            <w:vMerge/>
            <w:vAlign w:val="center"/>
          </w:tcPr>
          <w:p w14:paraId="226EB5C3" w14:textId="77777777" w:rsidR="00793DD0" w:rsidRPr="00742E18" w:rsidRDefault="00793DD0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A264F" w:rsidRPr="00742E18" w14:paraId="567CEFAD" w14:textId="77777777" w:rsidTr="00314C94">
        <w:trPr>
          <w:cantSplit/>
          <w:trHeight w:val="657"/>
        </w:trPr>
        <w:tc>
          <w:tcPr>
            <w:tcW w:w="818" w:type="dxa"/>
            <w:vMerge w:val="restart"/>
            <w:vAlign w:val="center"/>
          </w:tcPr>
          <w:p w14:paraId="2F41AB95" w14:textId="4F5B0C56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3542" w:type="dxa"/>
            <w:gridSpan w:val="2"/>
            <w:vAlign w:val="center"/>
          </w:tcPr>
          <w:p w14:paraId="12A92939" w14:textId="6D945F25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国家发明专利授权</w:t>
            </w:r>
          </w:p>
        </w:tc>
        <w:tc>
          <w:tcPr>
            <w:tcW w:w="1305" w:type="dxa"/>
            <w:vAlign w:val="center"/>
          </w:tcPr>
          <w:p w14:paraId="6919DCFF" w14:textId="7E796874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3365" w:type="dxa"/>
            <w:vMerge w:val="restart"/>
            <w:vAlign w:val="center"/>
          </w:tcPr>
          <w:p w14:paraId="2E8AD4BC" w14:textId="77777777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1.本人为发明权人第一人；</w:t>
            </w:r>
          </w:p>
          <w:p w14:paraId="6EBE8B55" w14:textId="0DB9DEEB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2.发明单位为武汉理工大学；</w:t>
            </w:r>
          </w:p>
          <w:p w14:paraId="20401BF3" w14:textId="13179C91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3.专利证书时间为上年度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9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日至本年度</w:t>
            </w: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月31日。</w:t>
            </w:r>
          </w:p>
        </w:tc>
      </w:tr>
      <w:tr w:rsidR="004A264F" w:rsidRPr="00742E18" w14:paraId="26F19E70" w14:textId="77777777" w:rsidTr="00314C94">
        <w:trPr>
          <w:cantSplit/>
          <w:trHeight w:val="990"/>
        </w:trPr>
        <w:tc>
          <w:tcPr>
            <w:tcW w:w="818" w:type="dxa"/>
            <w:vMerge/>
            <w:vAlign w:val="center"/>
          </w:tcPr>
          <w:p w14:paraId="300CB3D0" w14:textId="77777777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2851101A" w14:textId="47F9D3CD" w:rsidR="004A264F" w:rsidRPr="00742E18" w:rsidRDefault="004A264F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国家实用新型专利授权</w:t>
            </w:r>
          </w:p>
        </w:tc>
        <w:tc>
          <w:tcPr>
            <w:tcW w:w="1305" w:type="dxa"/>
            <w:vAlign w:val="center"/>
          </w:tcPr>
          <w:p w14:paraId="48E386E4" w14:textId="0304D305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365" w:type="dxa"/>
            <w:vMerge/>
            <w:vAlign w:val="center"/>
          </w:tcPr>
          <w:p w14:paraId="5BBAC3AD" w14:textId="77777777" w:rsidR="004A264F" w:rsidRPr="00742E18" w:rsidRDefault="004A264F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23999" w:rsidRPr="00742E18" w14:paraId="46F0C7CD" w14:textId="3182EFB2" w:rsidTr="00314C94">
        <w:trPr>
          <w:cantSplit/>
          <w:trHeight w:val="4243"/>
        </w:trPr>
        <w:tc>
          <w:tcPr>
            <w:tcW w:w="818" w:type="dxa"/>
            <w:vMerge w:val="restart"/>
            <w:vAlign w:val="center"/>
          </w:tcPr>
          <w:p w14:paraId="3F1F350F" w14:textId="76924A92" w:rsidR="00723999" w:rsidRPr="00742E18" w:rsidRDefault="00723999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创新实践竞赛</w:t>
            </w:r>
          </w:p>
        </w:tc>
        <w:tc>
          <w:tcPr>
            <w:tcW w:w="4847" w:type="dxa"/>
            <w:gridSpan w:val="3"/>
            <w:vAlign w:val="center"/>
          </w:tcPr>
          <w:p w14:paraId="4E01BD2E" w14:textId="77777777" w:rsidR="00D9257A" w:rsidRDefault="00D9257A" w:rsidP="00DB4BD4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团体参加竞赛获得国家级一、二、三等奖、优秀（胜）奖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分别</w:t>
            </w: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奖励团队65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、60、55、</w:t>
            </w: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50分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14:paraId="6ADB58B8" w14:textId="77777777" w:rsidR="00D9257A" w:rsidRDefault="00D9257A" w:rsidP="00DB4BD4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团体参加竞赛获得省（部）级一、二、三等奖、优秀（胜）奖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分别</w:t>
            </w: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奖励团队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45、40、35、30</w:t>
            </w: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分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14:paraId="6BDE36FF" w14:textId="7BE77F34" w:rsidR="00723999" w:rsidRPr="00742E18" w:rsidRDefault="00D9257A" w:rsidP="00DB4BD4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团体参加竞赛获得</w:t>
            </w:r>
            <w:proofErr w:type="gramStart"/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学校级</w:t>
            </w:r>
            <w:proofErr w:type="gramEnd"/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一、二、三等奖、优秀（胜）奖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分别</w:t>
            </w: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奖励团队</w:t>
            </w:r>
            <w:r w:rsidRPr="00D9257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25、20、15、10</w:t>
            </w:r>
            <w:r w:rsidRPr="00D9257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3365" w:type="dxa"/>
            <w:vMerge w:val="restart"/>
            <w:vAlign w:val="center"/>
          </w:tcPr>
          <w:p w14:paraId="63D3920E" w14:textId="76C0B4FC" w:rsidR="00E55684" w:rsidRPr="00742E18" w:rsidRDefault="00723999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="00E55684" w:rsidRPr="00742E18">
              <w:rPr>
                <w:rFonts w:ascii="仿宋" w:eastAsia="仿宋" w:hAnsi="仿宋"/>
                <w:sz w:val="24"/>
                <w:szCs w:val="24"/>
              </w:rPr>
              <w:t>若研究生在校期间</w:t>
            </w:r>
            <w:r w:rsidR="00E55684" w:rsidRPr="00742E18">
              <w:rPr>
                <w:rFonts w:ascii="仿宋" w:eastAsia="仿宋" w:hAnsi="仿宋" w:hint="eastAsia"/>
                <w:sz w:val="24"/>
                <w:szCs w:val="24"/>
              </w:rPr>
              <w:t>获得国家级竞赛一等奖</w:t>
            </w:r>
            <w:r w:rsidR="00E55684" w:rsidRPr="00742E18">
              <w:rPr>
                <w:rFonts w:ascii="仿宋" w:eastAsia="仿宋" w:hAnsi="仿宋"/>
                <w:sz w:val="24"/>
                <w:szCs w:val="24"/>
              </w:rPr>
              <w:t>，只要其</w:t>
            </w:r>
            <w:r w:rsidR="00E55684" w:rsidRPr="00742E18">
              <w:rPr>
                <w:rFonts w:ascii="仿宋" w:eastAsia="仿宋" w:hAnsi="仿宋" w:hint="eastAsia"/>
                <w:sz w:val="24"/>
                <w:szCs w:val="24"/>
              </w:rPr>
              <w:t>他</w:t>
            </w:r>
            <w:r w:rsidR="00E55684" w:rsidRPr="00742E18">
              <w:rPr>
                <w:rFonts w:ascii="仿宋" w:eastAsia="仿宋" w:hAnsi="仿宋"/>
                <w:sz w:val="24"/>
                <w:szCs w:val="24"/>
              </w:rPr>
              <w:t>各项表现合格，即可获得一等奖学金，不参与打分。</w:t>
            </w:r>
          </w:p>
          <w:p w14:paraId="06ADF7EC" w14:textId="4E5F747E" w:rsidR="00723999" w:rsidRPr="00742E18" w:rsidRDefault="00E55684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.</w:t>
            </w:r>
            <w:bookmarkStart w:id="2" w:name="_Hlk29762251"/>
            <w:bookmarkStart w:id="3" w:name="_Hlk29762273"/>
            <w:r w:rsidR="00723999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竞赛项目以《研究生高水平竞赛项目认定清单》为准</w:t>
            </w:r>
            <w:r w:rsidR="008A4B76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，其他不在清单内的，以研究生院认定结果</w:t>
            </w:r>
            <w:r w:rsid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为准</w:t>
            </w:r>
            <w:bookmarkEnd w:id="2"/>
            <w:r w:rsid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或管理学院研究生奖学金评</w:t>
            </w:r>
            <w:r w:rsidR="009D7A0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审</w:t>
            </w:r>
            <w:bookmarkStart w:id="4" w:name="_GoBack"/>
            <w:bookmarkEnd w:id="4"/>
            <w:r w:rsid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委员会认定结果</w:t>
            </w:r>
            <w:r w:rsidR="008A4B76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为准</w:t>
            </w:r>
            <w:bookmarkEnd w:id="3"/>
            <w:r w:rsidR="008A4B76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14:paraId="557647F8" w14:textId="77777777" w:rsidR="00DB4BD4" w:rsidRDefault="00E55684" w:rsidP="0077143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</w:t>
            </w:r>
            <w:r w:rsidR="004B492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.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团队中个人得分按“奖励分</w:t>
            </w:r>
            <w:r w:rsidR="0084154B"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/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该团队全部参与者”计算，参与人数根据主办单位出具的书面证明认定</w:t>
            </w:r>
            <w:r w:rsidR="004B492E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14:paraId="02CFE9ED" w14:textId="77777777" w:rsidR="00452F6A" w:rsidRDefault="00EF0F13" w:rsidP="00BB7D0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</w:t>
            </w:r>
            <w:r w:rsidR="00452F6A"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、同类别赛事不同级别不可累加</w:t>
            </w:r>
          </w:p>
          <w:p w14:paraId="0732602D" w14:textId="3647FD5F" w:rsidR="00EF0F13" w:rsidRPr="006941C6" w:rsidRDefault="00EF0F13" w:rsidP="00BB7D0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23999" w:rsidRPr="00742E18" w14:paraId="487E2D95" w14:textId="42EED01B" w:rsidTr="00314C94">
        <w:trPr>
          <w:cantSplit/>
          <w:trHeight w:val="1728"/>
        </w:trPr>
        <w:tc>
          <w:tcPr>
            <w:tcW w:w="818" w:type="dxa"/>
            <w:vMerge/>
            <w:vAlign w:val="center"/>
          </w:tcPr>
          <w:p w14:paraId="15B6C0AE" w14:textId="77777777" w:rsidR="00723999" w:rsidRPr="00742E18" w:rsidRDefault="00723999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47" w:type="dxa"/>
            <w:gridSpan w:val="3"/>
            <w:vAlign w:val="center"/>
          </w:tcPr>
          <w:p w14:paraId="08442538" w14:textId="77777777" w:rsidR="00C8778F" w:rsidRDefault="00C8778F" w:rsidP="00C8778F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个人参加竞赛获得国家级一、二、三等奖、优秀（胜）奖</w:t>
            </w:r>
            <w:r w:rsidRPr="00C8778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分别</w:t>
            </w:r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奖励</w:t>
            </w:r>
            <w:r w:rsidRPr="00C8778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14、13、12、11分；</w:t>
            </w:r>
          </w:p>
          <w:p w14:paraId="7C2B6549" w14:textId="77777777" w:rsidR="00C8778F" w:rsidRDefault="00C8778F" w:rsidP="00C8778F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个人参加竞赛获得省（部）级一、二、三等奖、优秀（胜）奖</w:t>
            </w:r>
            <w:r w:rsidRPr="00C8778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分别</w:t>
            </w:r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奖励</w:t>
            </w:r>
            <w:r w:rsidRPr="00C8778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10、9、8、7分；</w:t>
            </w:r>
          </w:p>
          <w:p w14:paraId="5F0E73D2" w14:textId="3954902A" w:rsidR="00723999" w:rsidRPr="00742E18" w:rsidRDefault="00C8778F" w:rsidP="00C8778F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个人参加竞赛获得</w:t>
            </w:r>
            <w:proofErr w:type="gramStart"/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学校级</w:t>
            </w:r>
            <w:proofErr w:type="gramEnd"/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一、二、三等奖、优秀（胜）奖</w:t>
            </w:r>
            <w:r w:rsidRPr="00C8778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分别</w:t>
            </w:r>
            <w:r w:rsidRPr="00C8778F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奖励</w:t>
            </w:r>
            <w:r w:rsidRPr="00C8778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6、5、4、3分。</w:t>
            </w:r>
          </w:p>
        </w:tc>
        <w:tc>
          <w:tcPr>
            <w:tcW w:w="3365" w:type="dxa"/>
            <w:vMerge/>
            <w:vAlign w:val="center"/>
          </w:tcPr>
          <w:p w14:paraId="5EB26397" w14:textId="77777777" w:rsidR="00723999" w:rsidRPr="00742E18" w:rsidRDefault="00723999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B492E" w:rsidRPr="00742E18" w14:paraId="545B3B30" w14:textId="77777777" w:rsidTr="00314C94">
        <w:trPr>
          <w:cantSplit/>
          <w:trHeight w:val="1155"/>
        </w:trPr>
        <w:tc>
          <w:tcPr>
            <w:tcW w:w="818" w:type="dxa"/>
            <w:vMerge/>
            <w:vAlign w:val="center"/>
          </w:tcPr>
          <w:p w14:paraId="42B13AAB" w14:textId="77777777" w:rsidR="004B492E" w:rsidRPr="00742E18" w:rsidRDefault="004B492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47" w:type="dxa"/>
            <w:gridSpan w:val="3"/>
            <w:vAlign w:val="center"/>
          </w:tcPr>
          <w:p w14:paraId="24249C4C" w14:textId="19A3B11A" w:rsidR="004B492E" w:rsidRPr="00742E18" w:rsidRDefault="004B492E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成功报名参赛并提交作品</w:t>
            </w:r>
            <w:r w:rsidR="0084154B"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的获得参与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加分，其中</w:t>
            </w:r>
            <w:r w:rsidR="00452F6A"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每人每次</w:t>
            </w:r>
            <w:r w:rsidR="00EF0F13"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</w:t>
            </w:r>
            <w:r w:rsidR="00452F6A"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0.5分，参与奖的累计加分上限为2分</w:t>
            </w:r>
            <w:r w:rsidR="00452F6A" w:rsidRPr="00742E1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vMerge/>
            <w:vAlign w:val="center"/>
          </w:tcPr>
          <w:p w14:paraId="2B8CD1D9" w14:textId="77777777" w:rsidR="004B492E" w:rsidRPr="00742E18" w:rsidRDefault="004B492E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1BA2CDCF" w14:textId="77777777" w:rsidR="00742E18" w:rsidRPr="00742E18" w:rsidRDefault="00742E18" w:rsidP="00314C94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p w14:paraId="0BB54B0B" w14:textId="2547B079" w:rsidR="00C42664" w:rsidRPr="00742E18" w:rsidRDefault="00C42664" w:rsidP="00742E18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2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四</w:t>
      </w:r>
      <w:r w:rsidR="008A4B76"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、</w:t>
      </w:r>
      <w:r w:rsidR="00E90318"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社会活动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785"/>
        <w:gridCol w:w="5244"/>
        <w:gridCol w:w="2268"/>
      </w:tblGrid>
      <w:tr w:rsidR="0084154B" w:rsidRPr="00742E18" w14:paraId="528F0ED9" w14:textId="121E7A53" w:rsidTr="00314C94">
        <w:trPr>
          <w:trHeight w:val="4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BD8D" w14:textId="382AE5CD" w:rsidR="0084154B" w:rsidRPr="00742E18" w:rsidRDefault="00E35145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21D" w14:textId="07FE3C81" w:rsidR="0084154B" w:rsidRPr="00742E18" w:rsidRDefault="00E35145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计分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BD0" w14:textId="3817F9FC" w:rsidR="0084154B" w:rsidRPr="00742E18" w:rsidRDefault="00E35145" w:rsidP="00742E1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说明</w:t>
            </w:r>
          </w:p>
        </w:tc>
      </w:tr>
      <w:tr w:rsidR="0084154B" w:rsidRPr="00742E18" w14:paraId="416602B8" w14:textId="77777777" w:rsidTr="00314C94">
        <w:trPr>
          <w:trHeight w:val="28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BCAA5" w14:textId="4251770B" w:rsidR="0084154B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文体竞赛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9D02A" w14:textId="394877E3" w:rsidR="0084154B" w:rsidRPr="00EF0F13" w:rsidRDefault="0084154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省级以上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C40" w14:textId="5FF5F631" w:rsidR="0084154B" w:rsidRPr="00EF0F13" w:rsidRDefault="0084154B" w:rsidP="00742E18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团体竞赛一等奖，每人记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7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分；二等奖，每人记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5.6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分；三等奖，每人记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4.2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1E40A" w14:textId="24BE6A93" w:rsidR="0084154B" w:rsidRPr="00742E18" w:rsidRDefault="0084154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="00E35145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不同项目竞赛获奖可累计加分，同一项目只</w:t>
            </w:r>
            <w:proofErr w:type="gramStart"/>
            <w:r w:rsidR="00E35145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取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最高</w:t>
            </w:r>
            <w:proofErr w:type="gramEnd"/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="00E35145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14:paraId="2E252FD0" w14:textId="77777777" w:rsidR="0084154B" w:rsidRDefault="00E35145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="0065447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没有明确奖项等级的，由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带队老师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出具</w:t>
            </w:r>
            <w:r w:rsidR="0065447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相关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证明（包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括：参赛情况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比照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一、二、三等奖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说明获奖情况</w:t>
            </w:r>
            <w:r w:rsidR="0084154B"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Pr="00742E1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  <w:p w14:paraId="774F89CA" w14:textId="3774326F" w:rsidR="00EF0F13" w:rsidRPr="00742E18" w:rsidRDefault="00EF0F13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3、</w:t>
            </w:r>
            <w:r w:rsidR="00DE48A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团体（个人）竞赛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第1、2名等同于一等奖，第3、4、5名等同于二等奖，第6、7、8名等同于三等奖</w:t>
            </w:r>
          </w:p>
        </w:tc>
      </w:tr>
      <w:tr w:rsidR="0084154B" w:rsidRPr="00742E18" w14:paraId="016B8F5A" w14:textId="77777777" w:rsidTr="00314C94">
        <w:trPr>
          <w:trHeight w:val="34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13EC" w14:textId="77777777" w:rsidR="0084154B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2B76" w14:textId="77777777" w:rsidR="0084154B" w:rsidRPr="00EF0F13" w:rsidRDefault="0084154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28D5" w14:textId="238E1BC0" w:rsidR="0084154B" w:rsidRPr="00EF0F13" w:rsidRDefault="0084154B" w:rsidP="00BF44D1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单人竞赛获一等奖记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分，二等奖记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分，三等奖记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6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3A7C" w14:textId="77777777" w:rsidR="0084154B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4154B" w:rsidRPr="00742E18" w14:paraId="48658C3F" w14:textId="77777777" w:rsidTr="00314C94">
        <w:trPr>
          <w:trHeight w:val="1317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54B2" w14:textId="77777777" w:rsidR="0084154B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AE2A4" w14:textId="3A89565D" w:rsidR="0084154B" w:rsidRPr="00EF0F13" w:rsidRDefault="0084154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8D56" w14:textId="5D8B88BB" w:rsidR="0084154B" w:rsidRPr="00EF0F13" w:rsidRDefault="0084154B" w:rsidP="00742E18">
            <w:pPr>
              <w:shd w:val="clear" w:color="auto" w:fill="FFFFFF"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团体竞赛一等奖，每人记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4.2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分；二等奖，每人记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2.8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分；三等奖，每人记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1.4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FB53" w14:textId="54DF7900" w:rsidR="0084154B" w:rsidRPr="00742E18" w:rsidRDefault="0084154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4154B" w:rsidRPr="00742E18" w14:paraId="340B45AE" w14:textId="77777777" w:rsidTr="00314C94">
        <w:trPr>
          <w:trHeight w:val="1214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7FA" w14:textId="77777777" w:rsidR="0084154B" w:rsidRPr="00742E18" w:rsidRDefault="0084154B" w:rsidP="00742E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526" w14:textId="77777777" w:rsidR="0084154B" w:rsidRPr="00EF0F13" w:rsidRDefault="0084154B" w:rsidP="00742E1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FF68B" w14:textId="74EB75DB" w:rsidR="0084154B" w:rsidRPr="00EF0F13" w:rsidRDefault="0084154B" w:rsidP="00742E18">
            <w:pPr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单人竞赛获一等奖记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6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分，二等奖记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分，三等奖记</w:t>
            </w:r>
            <w:r w:rsidRPr="00EF0F13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 w:rsidRPr="00EF0F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DC4" w14:textId="77777777" w:rsidR="0084154B" w:rsidRPr="00742E18" w:rsidRDefault="0084154B" w:rsidP="00742E1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3C6C3446" w14:textId="77777777" w:rsidR="00101E68" w:rsidRPr="00742E18" w:rsidRDefault="00101E68" w:rsidP="00742E18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  <w:highlight w:val="yellow"/>
        </w:rPr>
      </w:pPr>
    </w:p>
    <w:p w14:paraId="15678677" w14:textId="576F1897" w:rsidR="004A264F" w:rsidRPr="00742E18" w:rsidRDefault="004A264F" w:rsidP="00742E18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2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五、其他</w:t>
      </w:r>
      <w:r w:rsidR="0065447B"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说明</w:t>
      </w:r>
      <w:r w:rsidRPr="00742E1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事项</w:t>
      </w:r>
    </w:p>
    <w:p w14:paraId="601916F3" w14:textId="38CC568B" w:rsidR="0036719E" w:rsidRPr="00742E18" w:rsidRDefault="004A264F" w:rsidP="00742E18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各类奖项及荣誉</w:t>
      </w:r>
      <w:r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应于取得荣奖励的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当月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寒暑假</w:t>
      </w:r>
      <w:r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期间可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顺延至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开学第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一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个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），</w:t>
      </w:r>
      <w:r w:rsidR="00742E18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由本人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将原件、复印件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及电子版</w:t>
      </w:r>
      <w:r w:rsidR="006F7253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提交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辅导员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审查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</w:t>
      </w:r>
      <w:r w:rsidR="006F7253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并</w:t>
      </w:r>
      <w:r w:rsidR="0088317F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现场核算加分</w:t>
      </w:r>
      <w:r w:rsidR="0036719E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</w:p>
    <w:p w14:paraId="26E43E54" w14:textId="1D5DA856" w:rsidR="00C42664" w:rsidRPr="00742E18" w:rsidRDefault="006F7253" w:rsidP="00742E18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</w:t>
      </w:r>
      <w:r w:rsidR="00C42664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各级奖励</w:t>
      </w:r>
      <w:r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</w:t>
      </w:r>
      <w:r w:rsidR="00C42664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认定期</w:t>
      </w:r>
      <w:r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应以</w:t>
      </w:r>
      <w:r w:rsidR="00C42664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研究生身份的参评学年为准，其他学年或其他身份取得的荣誉与成果不参与该年度奖学金评定。</w:t>
      </w:r>
    </w:p>
    <w:p w14:paraId="415531CA" w14:textId="10A43E2C" w:rsidR="008A4B76" w:rsidRPr="00742E18" w:rsidRDefault="006F7253" w:rsidP="00742E18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3. </w:t>
      </w:r>
      <w:r w:rsidR="008A4B76" w:rsidRPr="00742E1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奖励材料级别认定，以学生所获证书的公章为准。校级以上荣誉证书或奖励，仅承认各级人民政府、各级团委、各级教育行政部门的公章。校级荣誉证书或获奖仅承认“共青团武汉理工大学委员会”“武汉理工大学”“校研究生院研究生管理处”“研究生院管理处、校体育课部的公章。</w:t>
      </w:r>
    </w:p>
    <w:sectPr w:rsidR="008A4B76" w:rsidRPr="00742E18" w:rsidSect="006C1B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ABBF" w14:textId="77777777" w:rsidR="00CE3408" w:rsidRDefault="00CE3408" w:rsidP="00C42664">
      <w:r>
        <w:separator/>
      </w:r>
    </w:p>
  </w:endnote>
  <w:endnote w:type="continuationSeparator" w:id="0">
    <w:p w14:paraId="37E82FE1" w14:textId="77777777" w:rsidR="00CE3408" w:rsidRDefault="00CE3408" w:rsidP="00C4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717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05432" w14:textId="455F4632" w:rsidR="00742E18" w:rsidRDefault="00742E18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EE53CA" w14:textId="77777777" w:rsidR="00C05061" w:rsidRDefault="00C05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D974" w14:textId="77777777" w:rsidR="00CE3408" w:rsidRDefault="00CE3408" w:rsidP="00C42664">
      <w:r>
        <w:separator/>
      </w:r>
    </w:p>
  </w:footnote>
  <w:footnote w:type="continuationSeparator" w:id="0">
    <w:p w14:paraId="66EC3CC9" w14:textId="77777777" w:rsidR="00CE3408" w:rsidRDefault="00CE3408" w:rsidP="00C4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AF2"/>
    <w:multiLevelType w:val="hybridMultilevel"/>
    <w:tmpl w:val="24C8751C"/>
    <w:lvl w:ilvl="0" w:tplc="4572B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F45B6A"/>
    <w:multiLevelType w:val="hybridMultilevel"/>
    <w:tmpl w:val="5A26D24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2E2810"/>
    <w:multiLevelType w:val="hybridMultilevel"/>
    <w:tmpl w:val="4EEE664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TYzMjQyNLA0NjFV0lEKTi0uzszPAykwqQUAtELfuSwAAAA="/>
  </w:docVars>
  <w:rsids>
    <w:rsidRoot w:val="002540A3"/>
    <w:rsid w:val="00002AAF"/>
    <w:rsid w:val="0007417C"/>
    <w:rsid w:val="000C7EA5"/>
    <w:rsid w:val="000E10C7"/>
    <w:rsid w:val="00101E68"/>
    <w:rsid w:val="00131E06"/>
    <w:rsid w:val="00161959"/>
    <w:rsid w:val="001D1EC7"/>
    <w:rsid w:val="001D2923"/>
    <w:rsid w:val="00222674"/>
    <w:rsid w:val="00225A6E"/>
    <w:rsid w:val="0023502B"/>
    <w:rsid w:val="002540A3"/>
    <w:rsid w:val="00270E7F"/>
    <w:rsid w:val="00281E5C"/>
    <w:rsid w:val="00282BE3"/>
    <w:rsid w:val="002A1789"/>
    <w:rsid w:val="002E1095"/>
    <w:rsid w:val="002F1A93"/>
    <w:rsid w:val="002F6C83"/>
    <w:rsid w:val="00314C94"/>
    <w:rsid w:val="00327AF8"/>
    <w:rsid w:val="0036719E"/>
    <w:rsid w:val="003C310E"/>
    <w:rsid w:val="003D7E9A"/>
    <w:rsid w:val="00452F6A"/>
    <w:rsid w:val="00456903"/>
    <w:rsid w:val="004A264F"/>
    <w:rsid w:val="004B492E"/>
    <w:rsid w:val="004D1EAA"/>
    <w:rsid w:val="004E01C2"/>
    <w:rsid w:val="004E2873"/>
    <w:rsid w:val="005062A3"/>
    <w:rsid w:val="00526746"/>
    <w:rsid w:val="00564A3E"/>
    <w:rsid w:val="00566477"/>
    <w:rsid w:val="005D5D9E"/>
    <w:rsid w:val="006055AC"/>
    <w:rsid w:val="00612F4E"/>
    <w:rsid w:val="0065447B"/>
    <w:rsid w:val="006941C6"/>
    <w:rsid w:val="006C30BC"/>
    <w:rsid w:val="006F7253"/>
    <w:rsid w:val="00723999"/>
    <w:rsid w:val="00742E18"/>
    <w:rsid w:val="00770F08"/>
    <w:rsid w:val="00771435"/>
    <w:rsid w:val="00781749"/>
    <w:rsid w:val="00786DBB"/>
    <w:rsid w:val="00793DD0"/>
    <w:rsid w:val="00801EA1"/>
    <w:rsid w:val="0080476C"/>
    <w:rsid w:val="0083650C"/>
    <w:rsid w:val="0084154B"/>
    <w:rsid w:val="00860095"/>
    <w:rsid w:val="00860538"/>
    <w:rsid w:val="00882142"/>
    <w:rsid w:val="0088317F"/>
    <w:rsid w:val="008A4B76"/>
    <w:rsid w:val="008D761D"/>
    <w:rsid w:val="008E1703"/>
    <w:rsid w:val="009318BC"/>
    <w:rsid w:val="00957419"/>
    <w:rsid w:val="00973DB6"/>
    <w:rsid w:val="009D7A0C"/>
    <w:rsid w:val="00A3705D"/>
    <w:rsid w:val="00A95A16"/>
    <w:rsid w:val="00AA239C"/>
    <w:rsid w:val="00AD7FBC"/>
    <w:rsid w:val="00B85A86"/>
    <w:rsid w:val="00B9685A"/>
    <w:rsid w:val="00BB11A6"/>
    <w:rsid w:val="00BB7D05"/>
    <w:rsid w:val="00BF2142"/>
    <w:rsid w:val="00BF44D1"/>
    <w:rsid w:val="00C05061"/>
    <w:rsid w:val="00C17453"/>
    <w:rsid w:val="00C259B6"/>
    <w:rsid w:val="00C42664"/>
    <w:rsid w:val="00C8778F"/>
    <w:rsid w:val="00CC0ECB"/>
    <w:rsid w:val="00CC33E2"/>
    <w:rsid w:val="00CC7410"/>
    <w:rsid w:val="00CE3408"/>
    <w:rsid w:val="00CF302F"/>
    <w:rsid w:val="00D0343E"/>
    <w:rsid w:val="00D24E76"/>
    <w:rsid w:val="00D9257A"/>
    <w:rsid w:val="00DB4BD4"/>
    <w:rsid w:val="00DE48AB"/>
    <w:rsid w:val="00E232F8"/>
    <w:rsid w:val="00E31625"/>
    <w:rsid w:val="00E35145"/>
    <w:rsid w:val="00E55684"/>
    <w:rsid w:val="00E618DD"/>
    <w:rsid w:val="00E90318"/>
    <w:rsid w:val="00EA02B8"/>
    <w:rsid w:val="00EF0F13"/>
    <w:rsid w:val="00F3278F"/>
    <w:rsid w:val="00F7342B"/>
    <w:rsid w:val="00F91B4D"/>
    <w:rsid w:val="00FA5317"/>
    <w:rsid w:val="00FB4AFB"/>
    <w:rsid w:val="00FC367F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AE598E"/>
  <w15:chartTrackingRefBased/>
  <w15:docId w15:val="{31E5F801-4E0D-4AE8-85E1-E0E5F74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6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6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6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506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5061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81E5C"/>
    <w:pPr>
      <w:ind w:firstLineChars="200" w:firstLine="420"/>
    </w:pPr>
  </w:style>
  <w:style w:type="character" w:styleId="aa">
    <w:name w:val="annotation reference"/>
    <w:basedOn w:val="a0"/>
    <w:rsid w:val="00E55684"/>
    <w:rPr>
      <w:sz w:val="21"/>
      <w:szCs w:val="21"/>
    </w:rPr>
  </w:style>
  <w:style w:type="paragraph" w:styleId="ab">
    <w:name w:val="annotation text"/>
    <w:basedOn w:val="a"/>
    <w:link w:val="ac"/>
    <w:rsid w:val="00E55684"/>
    <w:pPr>
      <w:jc w:val="left"/>
    </w:pPr>
    <w:rPr>
      <w:rFonts w:ascii="Times New Roman" w:hAnsi="Times New Roman"/>
      <w:szCs w:val="24"/>
    </w:rPr>
  </w:style>
  <w:style w:type="character" w:customStyle="1" w:styleId="ac">
    <w:name w:val="批注文字 字符"/>
    <w:basedOn w:val="a0"/>
    <w:link w:val="ab"/>
    <w:rsid w:val="00E55684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7EA5"/>
    <w:rPr>
      <w:rFonts w:ascii="Calibri" w:hAnsi="Calibri"/>
      <w:b/>
      <w:bCs/>
      <w:szCs w:val="22"/>
    </w:rPr>
  </w:style>
  <w:style w:type="character" w:customStyle="1" w:styleId="ae">
    <w:name w:val="批注主题 字符"/>
    <w:basedOn w:val="ac"/>
    <w:link w:val="ad"/>
    <w:uiPriority w:val="99"/>
    <w:semiHidden/>
    <w:rsid w:val="000C7EA5"/>
    <w:rPr>
      <w:rFonts w:ascii="Calibri" w:eastAsia="宋体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C47B-4F59-4732-A265-CF56BAF9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 雅伦</dc:creator>
  <cp:keywords/>
  <dc:description/>
  <cp:lastModifiedBy>xia_mi</cp:lastModifiedBy>
  <cp:revision>20</cp:revision>
  <cp:lastPrinted>2019-01-12T04:52:00Z</cp:lastPrinted>
  <dcterms:created xsi:type="dcterms:W3CDTF">2019-01-11T16:58:00Z</dcterms:created>
  <dcterms:modified xsi:type="dcterms:W3CDTF">2020-07-21T08:25:00Z</dcterms:modified>
</cp:coreProperties>
</file>